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36CB" w14:textId="77777777" w:rsidR="009F4D61" w:rsidRDefault="009F4D61" w:rsidP="00C82873">
      <w:pPr>
        <w:spacing w:after="200" w:line="240" w:lineRule="auto"/>
        <w:rPr>
          <w:rFonts w:ascii="Times New Roman" w:eastAsia="Times New Roman" w:hAnsi="Times New Roman" w:cs="Times New Roman"/>
          <w:b/>
          <w:bCs/>
          <w:sz w:val="28"/>
          <w:szCs w:val="28"/>
        </w:rPr>
      </w:pPr>
    </w:p>
    <w:p w14:paraId="565F9054" w14:textId="2C9CE1A3" w:rsidR="001A3E81" w:rsidRDefault="001A3E81" w:rsidP="00C82873">
      <w:pPr>
        <w:spacing w:after="200" w:line="240" w:lineRule="auto"/>
      </w:pPr>
      <w:r>
        <w:rPr>
          <w:rFonts w:ascii="Times New Roman" w:eastAsia="Times New Roman" w:hAnsi="Times New Roman" w:cs="Times New Roman"/>
          <w:b/>
          <w:bCs/>
          <w:sz w:val="28"/>
          <w:szCs w:val="28"/>
        </w:rPr>
        <w:t xml:space="preserve">Abstract: </w:t>
      </w:r>
      <w:r w:rsidRPr="1699D20A">
        <w:rPr>
          <w:rFonts w:ascii="Times New Roman" w:eastAsia="Times New Roman" w:hAnsi="Times New Roman" w:cs="Times New Roman"/>
        </w:rPr>
        <w:t xml:space="preserve">Businesses basically have two accounting methods to figure their taxable income: cash and accrual. Many businesses have a choice of which method to use for tax purposes. The cash method often provides significant tax benefits </w:t>
      </w:r>
      <w:r w:rsidR="006A6AED">
        <w:rPr>
          <w:rFonts w:ascii="Times New Roman" w:eastAsia="Times New Roman" w:hAnsi="Times New Roman" w:cs="Times New Roman"/>
        </w:rPr>
        <w:t>for eligible companies</w:t>
      </w:r>
      <w:r w:rsidRPr="1699D20A">
        <w:rPr>
          <w:rFonts w:ascii="Times New Roman" w:eastAsia="Times New Roman" w:hAnsi="Times New Roman" w:cs="Times New Roman"/>
        </w:rPr>
        <w:t xml:space="preserve">, though some may be better off using the accrual method. Thus, it may be prudent for </w:t>
      </w:r>
      <w:r w:rsidR="00D36053">
        <w:rPr>
          <w:rFonts w:ascii="Times New Roman" w:eastAsia="Times New Roman" w:hAnsi="Times New Roman" w:cs="Times New Roman"/>
        </w:rPr>
        <w:t>a</w:t>
      </w:r>
      <w:r w:rsidRPr="1699D20A">
        <w:rPr>
          <w:rFonts w:ascii="Times New Roman" w:eastAsia="Times New Roman" w:hAnsi="Times New Roman" w:cs="Times New Roman"/>
        </w:rPr>
        <w:t xml:space="preserve"> business to evaluate its </w:t>
      </w:r>
      <w:r w:rsidR="006A6AED">
        <w:rPr>
          <w:rFonts w:ascii="Times New Roman" w:eastAsia="Times New Roman" w:hAnsi="Times New Roman" w:cs="Times New Roman"/>
        </w:rPr>
        <w:t>process</w:t>
      </w:r>
      <w:r w:rsidRPr="1699D20A">
        <w:rPr>
          <w:rFonts w:ascii="Times New Roman" w:eastAsia="Times New Roman" w:hAnsi="Times New Roman" w:cs="Times New Roman"/>
        </w:rPr>
        <w:t xml:space="preserve"> to ensure that it’s the most advantageous approach.</w:t>
      </w:r>
      <w:r w:rsidR="00D36053">
        <w:rPr>
          <w:rFonts w:ascii="Times New Roman" w:eastAsia="Times New Roman" w:hAnsi="Times New Roman" w:cs="Times New Roman"/>
        </w:rPr>
        <w:t xml:space="preserve"> </w:t>
      </w:r>
    </w:p>
    <w:p w14:paraId="17F53285" w14:textId="7B5087BE" w:rsidR="004202D0" w:rsidRPr="00FB028C" w:rsidRDefault="004202D0" w:rsidP="004202D0">
      <w:pPr>
        <w:spacing w:line="259" w:lineRule="auto"/>
        <w:rPr>
          <w:rFonts w:ascii="Times New Roman" w:hAnsi="Times New Roman" w:cs="Times New Roman"/>
          <w:sz w:val="28"/>
          <w:szCs w:val="28"/>
        </w:rPr>
      </w:pPr>
      <w:r w:rsidRPr="00FB028C">
        <w:rPr>
          <w:rFonts w:ascii="Times New Roman" w:hAnsi="Times New Roman" w:cs="Times New Roman"/>
          <w:b/>
          <w:bCs/>
          <w:sz w:val="28"/>
          <w:szCs w:val="28"/>
        </w:rPr>
        <w:t xml:space="preserve">Choosing the </w:t>
      </w:r>
      <w:r w:rsidR="00174DEB">
        <w:rPr>
          <w:rFonts w:ascii="Times New Roman" w:hAnsi="Times New Roman" w:cs="Times New Roman"/>
          <w:b/>
          <w:bCs/>
          <w:sz w:val="28"/>
          <w:szCs w:val="28"/>
        </w:rPr>
        <w:t>o</w:t>
      </w:r>
      <w:r w:rsidRPr="00FB028C">
        <w:rPr>
          <w:rFonts w:ascii="Times New Roman" w:hAnsi="Times New Roman" w:cs="Times New Roman"/>
          <w:b/>
          <w:bCs/>
          <w:sz w:val="28"/>
          <w:szCs w:val="28"/>
        </w:rPr>
        <w:t xml:space="preserve">ptimal </w:t>
      </w:r>
      <w:r w:rsidR="00174DEB">
        <w:rPr>
          <w:rFonts w:ascii="Times New Roman" w:hAnsi="Times New Roman" w:cs="Times New Roman"/>
          <w:b/>
          <w:bCs/>
          <w:sz w:val="28"/>
          <w:szCs w:val="28"/>
        </w:rPr>
        <w:t>a</w:t>
      </w:r>
      <w:r w:rsidRPr="00FB028C">
        <w:rPr>
          <w:rFonts w:ascii="Times New Roman" w:hAnsi="Times New Roman" w:cs="Times New Roman"/>
          <w:b/>
          <w:bCs/>
          <w:sz w:val="28"/>
          <w:szCs w:val="28"/>
        </w:rPr>
        <w:t xml:space="preserve">ccounting </w:t>
      </w:r>
      <w:r w:rsidR="00174DEB">
        <w:rPr>
          <w:rFonts w:ascii="Times New Roman" w:hAnsi="Times New Roman" w:cs="Times New Roman"/>
          <w:b/>
          <w:bCs/>
          <w:sz w:val="28"/>
          <w:szCs w:val="28"/>
        </w:rPr>
        <w:t>m</w:t>
      </w:r>
      <w:r w:rsidRPr="00FB028C">
        <w:rPr>
          <w:rFonts w:ascii="Times New Roman" w:hAnsi="Times New Roman" w:cs="Times New Roman"/>
          <w:b/>
          <w:bCs/>
          <w:sz w:val="28"/>
          <w:szCs w:val="28"/>
        </w:rPr>
        <w:t xml:space="preserve">ethod for </w:t>
      </w:r>
      <w:r w:rsidR="00174DEB">
        <w:rPr>
          <w:rFonts w:ascii="Times New Roman" w:hAnsi="Times New Roman" w:cs="Times New Roman"/>
          <w:b/>
          <w:bCs/>
          <w:sz w:val="28"/>
          <w:szCs w:val="28"/>
        </w:rPr>
        <w:t>t</w:t>
      </w:r>
      <w:r w:rsidRPr="00FB028C">
        <w:rPr>
          <w:rFonts w:ascii="Times New Roman" w:hAnsi="Times New Roman" w:cs="Times New Roman"/>
          <w:b/>
          <w:bCs/>
          <w:sz w:val="28"/>
          <w:szCs w:val="28"/>
        </w:rPr>
        <w:t xml:space="preserve">ax </w:t>
      </w:r>
      <w:r w:rsidR="00174DEB">
        <w:rPr>
          <w:rFonts w:ascii="Times New Roman" w:hAnsi="Times New Roman" w:cs="Times New Roman"/>
          <w:b/>
          <w:bCs/>
          <w:sz w:val="28"/>
          <w:szCs w:val="28"/>
        </w:rPr>
        <w:t>s</w:t>
      </w:r>
      <w:r w:rsidRPr="00FB028C">
        <w:rPr>
          <w:rFonts w:ascii="Times New Roman" w:hAnsi="Times New Roman" w:cs="Times New Roman"/>
          <w:b/>
          <w:bCs/>
          <w:sz w:val="28"/>
          <w:szCs w:val="28"/>
        </w:rPr>
        <w:t>avings</w:t>
      </w:r>
    </w:p>
    <w:p w14:paraId="349FCDE4" w14:textId="04783575" w:rsidR="004202D0" w:rsidRPr="00D14ECE" w:rsidRDefault="004202D0" w:rsidP="004202D0">
      <w:pPr>
        <w:spacing w:line="259" w:lineRule="auto"/>
        <w:rPr>
          <w:rFonts w:ascii="Times New Roman" w:hAnsi="Times New Roman" w:cs="Times New Roman"/>
        </w:rPr>
      </w:pPr>
      <w:r w:rsidRPr="00D14ECE">
        <w:rPr>
          <w:rFonts w:ascii="Times New Roman" w:hAnsi="Times New Roman" w:cs="Times New Roman"/>
        </w:rPr>
        <w:t xml:space="preserve">The </w:t>
      </w:r>
      <w:r w:rsidR="00DC56D3">
        <w:rPr>
          <w:rFonts w:ascii="Times New Roman" w:hAnsi="Times New Roman" w:cs="Times New Roman"/>
        </w:rPr>
        <w:t xml:space="preserve">accounting </w:t>
      </w:r>
      <w:r w:rsidRPr="00D14ECE">
        <w:rPr>
          <w:rFonts w:ascii="Times New Roman" w:hAnsi="Times New Roman" w:cs="Times New Roman"/>
        </w:rPr>
        <w:t>method your business uses to report income</w:t>
      </w:r>
      <w:r w:rsidR="007D0697">
        <w:rPr>
          <w:rFonts w:ascii="Times New Roman" w:hAnsi="Times New Roman" w:cs="Times New Roman"/>
        </w:rPr>
        <w:t xml:space="preserve"> for tax purposes</w:t>
      </w:r>
      <w:r w:rsidR="00FA3BEC">
        <w:rPr>
          <w:rFonts w:ascii="Times New Roman" w:hAnsi="Times New Roman" w:cs="Times New Roman"/>
        </w:rPr>
        <w:t xml:space="preserve"> </w:t>
      </w:r>
      <w:r w:rsidRPr="00D14ECE">
        <w:rPr>
          <w:rFonts w:ascii="Times New Roman" w:hAnsi="Times New Roman" w:cs="Times New Roman"/>
        </w:rPr>
        <w:t>—</w:t>
      </w:r>
      <w:r w:rsidR="00FA3BEC">
        <w:rPr>
          <w:rFonts w:ascii="Times New Roman" w:hAnsi="Times New Roman" w:cs="Times New Roman"/>
        </w:rPr>
        <w:t xml:space="preserve"> </w:t>
      </w:r>
      <w:r w:rsidRPr="00D14ECE">
        <w:rPr>
          <w:rFonts w:ascii="Times New Roman" w:hAnsi="Times New Roman" w:cs="Times New Roman"/>
        </w:rPr>
        <w:t>cash or accrual</w:t>
      </w:r>
      <w:r w:rsidR="00FA3BEC">
        <w:rPr>
          <w:rFonts w:ascii="Times New Roman" w:hAnsi="Times New Roman" w:cs="Times New Roman"/>
        </w:rPr>
        <w:t xml:space="preserve"> </w:t>
      </w:r>
      <w:r w:rsidRPr="00D14ECE">
        <w:rPr>
          <w:rFonts w:ascii="Times New Roman" w:hAnsi="Times New Roman" w:cs="Times New Roman"/>
        </w:rPr>
        <w:t>—</w:t>
      </w:r>
      <w:r w:rsidR="00FA3BEC">
        <w:rPr>
          <w:rFonts w:ascii="Times New Roman" w:hAnsi="Times New Roman" w:cs="Times New Roman"/>
        </w:rPr>
        <w:t xml:space="preserve"> </w:t>
      </w:r>
      <w:r w:rsidRPr="00D14ECE">
        <w:rPr>
          <w:rFonts w:ascii="Times New Roman" w:hAnsi="Times New Roman" w:cs="Times New Roman"/>
        </w:rPr>
        <w:t xml:space="preserve">can </w:t>
      </w:r>
      <w:r w:rsidR="0070497C">
        <w:rPr>
          <w:rFonts w:ascii="Times New Roman" w:hAnsi="Times New Roman" w:cs="Times New Roman"/>
        </w:rPr>
        <w:t>significantly</w:t>
      </w:r>
      <w:r w:rsidRPr="00D14ECE">
        <w:rPr>
          <w:rFonts w:ascii="Times New Roman" w:hAnsi="Times New Roman" w:cs="Times New Roman"/>
        </w:rPr>
        <w:t xml:space="preserve"> impact your tax bill. While the cash method </w:t>
      </w:r>
      <w:r w:rsidR="00C30DF6">
        <w:rPr>
          <w:rFonts w:ascii="Times New Roman" w:hAnsi="Times New Roman" w:cs="Times New Roman"/>
        </w:rPr>
        <w:t>can</w:t>
      </w:r>
      <w:r w:rsidR="00C30DF6" w:rsidRPr="00D14ECE">
        <w:rPr>
          <w:rFonts w:ascii="Times New Roman" w:hAnsi="Times New Roman" w:cs="Times New Roman"/>
        </w:rPr>
        <w:t xml:space="preserve"> </w:t>
      </w:r>
      <w:r w:rsidRPr="00D14ECE">
        <w:rPr>
          <w:rFonts w:ascii="Times New Roman" w:hAnsi="Times New Roman" w:cs="Times New Roman"/>
        </w:rPr>
        <w:t xml:space="preserve">offer tax-saving opportunities, the accrual method may be more appropriate </w:t>
      </w:r>
      <w:r w:rsidR="00B427A2" w:rsidRPr="00B427A2">
        <w:rPr>
          <w:rFonts w:ascii="Times New Roman" w:hAnsi="Times New Roman" w:cs="Times New Roman"/>
        </w:rPr>
        <w:t>—</w:t>
      </w:r>
      <w:r w:rsidR="004B23D2">
        <w:rPr>
          <w:rFonts w:ascii="Times New Roman" w:hAnsi="Times New Roman" w:cs="Times New Roman"/>
        </w:rPr>
        <w:t xml:space="preserve"> or required </w:t>
      </w:r>
      <w:r w:rsidR="006168CA">
        <w:rPr>
          <w:rFonts w:ascii="Times New Roman" w:hAnsi="Times New Roman" w:cs="Times New Roman"/>
        </w:rPr>
        <w:t>—</w:t>
      </w:r>
      <w:r w:rsidR="004B23D2">
        <w:rPr>
          <w:rFonts w:ascii="Times New Roman" w:hAnsi="Times New Roman" w:cs="Times New Roman"/>
        </w:rPr>
        <w:t xml:space="preserve"> </w:t>
      </w:r>
      <w:r w:rsidRPr="00D14ECE">
        <w:rPr>
          <w:rFonts w:ascii="Times New Roman" w:hAnsi="Times New Roman" w:cs="Times New Roman"/>
        </w:rPr>
        <w:t xml:space="preserve">in some cases. </w:t>
      </w:r>
      <w:proofErr w:type="gramStart"/>
      <w:r w:rsidR="001D6921">
        <w:rPr>
          <w:rFonts w:ascii="Times New Roman" w:hAnsi="Times New Roman" w:cs="Times New Roman"/>
        </w:rPr>
        <w:t>So</w:t>
      </w:r>
      <w:proofErr w:type="gramEnd"/>
      <w:r w:rsidR="001D6921">
        <w:rPr>
          <w:rFonts w:ascii="Times New Roman" w:hAnsi="Times New Roman" w:cs="Times New Roman"/>
        </w:rPr>
        <w:t xml:space="preserve"> r</w:t>
      </w:r>
      <w:r w:rsidRPr="00D14ECE">
        <w:rPr>
          <w:rFonts w:ascii="Times New Roman" w:hAnsi="Times New Roman" w:cs="Times New Roman"/>
        </w:rPr>
        <w:t xml:space="preserve">eview your current method </w:t>
      </w:r>
      <w:r w:rsidR="001D6921">
        <w:rPr>
          <w:rFonts w:ascii="Times New Roman" w:hAnsi="Times New Roman" w:cs="Times New Roman"/>
        </w:rPr>
        <w:t>to</w:t>
      </w:r>
      <w:r w:rsidR="001D6921" w:rsidRPr="00D14ECE">
        <w:rPr>
          <w:rFonts w:ascii="Times New Roman" w:hAnsi="Times New Roman" w:cs="Times New Roman"/>
        </w:rPr>
        <w:t xml:space="preserve"> </w:t>
      </w:r>
      <w:r w:rsidRPr="00D14ECE">
        <w:rPr>
          <w:rFonts w:ascii="Times New Roman" w:hAnsi="Times New Roman" w:cs="Times New Roman"/>
        </w:rPr>
        <w:t>help ensure you</w:t>
      </w:r>
      <w:r w:rsidR="001D6921">
        <w:rPr>
          <w:rFonts w:ascii="Times New Roman" w:hAnsi="Times New Roman" w:cs="Times New Roman"/>
        </w:rPr>
        <w:t>’</w:t>
      </w:r>
      <w:r w:rsidRPr="00D14ECE">
        <w:rPr>
          <w:rFonts w:ascii="Times New Roman" w:hAnsi="Times New Roman" w:cs="Times New Roman"/>
        </w:rPr>
        <w:t xml:space="preserve">re </w:t>
      </w:r>
      <w:r w:rsidR="00AF7FDB">
        <w:rPr>
          <w:rFonts w:ascii="Times New Roman" w:hAnsi="Times New Roman" w:cs="Times New Roman"/>
        </w:rPr>
        <w:t>us</w:t>
      </w:r>
      <w:r w:rsidRPr="00D14ECE">
        <w:rPr>
          <w:rFonts w:ascii="Times New Roman" w:hAnsi="Times New Roman" w:cs="Times New Roman"/>
        </w:rPr>
        <w:t xml:space="preserve">ing the </w:t>
      </w:r>
      <w:r w:rsidR="002A19CB">
        <w:rPr>
          <w:rFonts w:ascii="Times New Roman" w:hAnsi="Times New Roman" w:cs="Times New Roman"/>
        </w:rPr>
        <w:t>be</w:t>
      </w:r>
      <w:r w:rsidRPr="00D14ECE">
        <w:rPr>
          <w:rFonts w:ascii="Times New Roman" w:hAnsi="Times New Roman" w:cs="Times New Roman"/>
        </w:rPr>
        <w:t xml:space="preserve">st </w:t>
      </w:r>
      <w:r w:rsidR="00197F83">
        <w:rPr>
          <w:rFonts w:ascii="Times New Roman" w:hAnsi="Times New Roman" w:cs="Times New Roman"/>
        </w:rPr>
        <w:t>method for your business</w:t>
      </w:r>
      <w:r w:rsidRPr="00D14ECE">
        <w:rPr>
          <w:rFonts w:ascii="Times New Roman" w:hAnsi="Times New Roman" w:cs="Times New Roman"/>
        </w:rPr>
        <w:t>.</w:t>
      </w:r>
    </w:p>
    <w:p w14:paraId="1AC4C04B" w14:textId="0FA73848" w:rsidR="0049296C" w:rsidRDefault="006D0BF3" w:rsidP="00C82873">
      <w:pPr>
        <w:snapToGrid w:val="0"/>
        <w:spacing w:after="200" w:line="240" w:lineRule="auto"/>
        <w:rPr>
          <w:rFonts w:ascii="Times New Roman" w:hAnsi="Times New Roman" w:cs="Times New Roman"/>
        </w:rPr>
      </w:pPr>
      <w:r>
        <w:rPr>
          <w:rFonts w:ascii="Times New Roman" w:eastAsia="Times New Roman" w:hAnsi="Times New Roman" w:cs="Times New Roman"/>
          <w:b/>
          <w:bCs/>
        </w:rPr>
        <w:t>Who can</w:t>
      </w:r>
      <w:r w:rsidR="00B8248B">
        <w:rPr>
          <w:rFonts w:ascii="Times New Roman" w:eastAsia="Times New Roman" w:hAnsi="Times New Roman" w:cs="Times New Roman"/>
          <w:b/>
          <w:bCs/>
        </w:rPr>
        <w:t xml:space="preserve"> use cash accounting?</w:t>
      </w:r>
    </w:p>
    <w:p w14:paraId="48A903C4" w14:textId="1D26E0E0" w:rsidR="00B86C89" w:rsidRPr="00881D97" w:rsidRDefault="00B86C89" w:rsidP="00C82873">
      <w:pPr>
        <w:spacing w:after="200" w:line="240" w:lineRule="auto"/>
        <w:rPr>
          <w:rFonts w:ascii="Times New Roman" w:hAnsi="Times New Roman" w:cs="Times New Roman"/>
        </w:rPr>
      </w:pPr>
      <w:r w:rsidRPr="00881D97">
        <w:rPr>
          <w:rFonts w:ascii="Times New Roman" w:hAnsi="Times New Roman" w:cs="Times New Roman"/>
        </w:rPr>
        <w:t xml:space="preserve">The Tax Cuts and Jobs Act made the cash method more accessible to businesses than in the past and simplified the associated requirements. </w:t>
      </w:r>
      <w:r w:rsidRPr="00881D97">
        <w:rPr>
          <w:rFonts w:ascii="Times New Roman" w:eastAsia="Aptos" w:hAnsi="Times New Roman" w:cs="Times New Roman"/>
        </w:rPr>
        <w:t>In 2025, a “small business” is defined as one with average annual gross receipts of $3</w:t>
      </w:r>
      <w:r w:rsidR="00E214A0">
        <w:rPr>
          <w:rFonts w:ascii="Times New Roman" w:eastAsia="Aptos" w:hAnsi="Times New Roman" w:cs="Times New Roman"/>
        </w:rPr>
        <w:t>1</w:t>
      </w:r>
      <w:r w:rsidRPr="00881D97">
        <w:rPr>
          <w:rFonts w:ascii="Times New Roman" w:eastAsia="Aptos" w:hAnsi="Times New Roman" w:cs="Times New Roman"/>
        </w:rPr>
        <w:t xml:space="preserve"> million or less over the prior three years. This higher threshold allows more businesses to take advantage of the cash method, along with associated benefits such as:</w:t>
      </w:r>
    </w:p>
    <w:p w14:paraId="170247CE" w14:textId="74021FFE" w:rsidR="00B86C89" w:rsidRPr="00881D97" w:rsidRDefault="00B86C89" w:rsidP="00C82873">
      <w:pPr>
        <w:pStyle w:val="ListParagraph"/>
        <w:numPr>
          <w:ilvl w:val="0"/>
          <w:numId w:val="2"/>
        </w:numPr>
        <w:spacing w:after="200" w:line="240" w:lineRule="auto"/>
        <w:rPr>
          <w:rFonts w:ascii="Times New Roman" w:eastAsia="Aptos" w:hAnsi="Times New Roman" w:cs="Times New Roman"/>
        </w:rPr>
      </w:pPr>
      <w:r w:rsidRPr="00881D97">
        <w:rPr>
          <w:rFonts w:ascii="Times New Roman" w:eastAsia="Aptos" w:hAnsi="Times New Roman" w:cs="Times New Roman"/>
        </w:rPr>
        <w:t>Simplified inventory accounting</w:t>
      </w:r>
      <w:r w:rsidR="00B31AAC">
        <w:rPr>
          <w:rFonts w:ascii="Times New Roman" w:eastAsia="Aptos" w:hAnsi="Times New Roman" w:cs="Times New Roman"/>
        </w:rPr>
        <w:t>,</w:t>
      </w:r>
    </w:p>
    <w:p w14:paraId="4D8955E5" w14:textId="79589A10" w:rsidR="00B86C89" w:rsidRPr="00881D97" w:rsidRDefault="00B86C89" w:rsidP="00C82873">
      <w:pPr>
        <w:pStyle w:val="ListParagraph"/>
        <w:numPr>
          <w:ilvl w:val="0"/>
          <w:numId w:val="2"/>
        </w:numPr>
        <w:spacing w:after="200" w:line="240" w:lineRule="auto"/>
        <w:rPr>
          <w:rFonts w:ascii="Times New Roman" w:eastAsia="Aptos" w:hAnsi="Times New Roman" w:cs="Times New Roman"/>
        </w:rPr>
      </w:pPr>
      <w:r w:rsidRPr="00881D97">
        <w:rPr>
          <w:rFonts w:ascii="Times New Roman" w:eastAsia="Aptos" w:hAnsi="Times New Roman" w:cs="Times New Roman"/>
        </w:rPr>
        <w:t>Exemption from the uniform capitalization rules</w:t>
      </w:r>
      <w:r w:rsidR="00B31AAC">
        <w:rPr>
          <w:rFonts w:ascii="Times New Roman" w:eastAsia="Aptos" w:hAnsi="Times New Roman" w:cs="Times New Roman"/>
        </w:rPr>
        <w:t>, and</w:t>
      </w:r>
    </w:p>
    <w:p w14:paraId="28B1048A" w14:textId="6EBFAA00" w:rsidR="00B86C89" w:rsidRPr="00881D97" w:rsidRDefault="00B86C89" w:rsidP="00C82873">
      <w:pPr>
        <w:pStyle w:val="ListParagraph"/>
        <w:numPr>
          <w:ilvl w:val="0"/>
          <w:numId w:val="2"/>
        </w:numPr>
        <w:spacing w:after="200" w:line="240" w:lineRule="auto"/>
        <w:rPr>
          <w:rFonts w:ascii="Times New Roman" w:eastAsia="Aptos" w:hAnsi="Times New Roman" w:cs="Times New Roman"/>
        </w:rPr>
      </w:pPr>
      <w:r w:rsidRPr="00881D97">
        <w:rPr>
          <w:rFonts w:ascii="Times New Roman" w:eastAsia="Aptos" w:hAnsi="Times New Roman" w:cs="Times New Roman"/>
        </w:rPr>
        <w:t>Exemption from the business interest deduction limitation</w:t>
      </w:r>
      <w:r w:rsidR="00B31AAC">
        <w:rPr>
          <w:rFonts w:ascii="Times New Roman" w:eastAsia="Aptos" w:hAnsi="Times New Roman" w:cs="Times New Roman"/>
        </w:rPr>
        <w:t>.</w:t>
      </w:r>
    </w:p>
    <w:p w14:paraId="2A07ED83" w14:textId="102AEEAC" w:rsidR="00B86C89" w:rsidRPr="00881D97" w:rsidRDefault="00074AB9" w:rsidP="00C82873">
      <w:pPr>
        <w:snapToGrid w:val="0"/>
        <w:spacing w:after="200" w:line="240" w:lineRule="auto"/>
        <w:rPr>
          <w:rFonts w:ascii="Times New Roman" w:hAnsi="Times New Roman" w:cs="Times New Roman"/>
        </w:rPr>
      </w:pPr>
      <w:r>
        <w:rPr>
          <w:rFonts w:ascii="Times New Roman" w:hAnsi="Times New Roman" w:cs="Times New Roman"/>
          <w:lang w:bidi="en-US"/>
        </w:rPr>
        <w:t>Some</w:t>
      </w:r>
      <w:r w:rsidR="00B86C89" w:rsidRPr="00881D97">
        <w:rPr>
          <w:rFonts w:ascii="Times New Roman" w:hAnsi="Times New Roman" w:cs="Times New Roman"/>
          <w:lang w:bidi="en-US"/>
        </w:rPr>
        <w:t xml:space="preserve"> businesses are eligible for cash accounting even if their gross receipts exceed the threshold. This includes S corporations, partnerships without C corporation partners, farming businesses, and certain personal service corporations. </w:t>
      </w:r>
      <w:r w:rsidR="006363B1">
        <w:rPr>
          <w:rFonts w:ascii="Times New Roman" w:hAnsi="Times New Roman" w:cs="Times New Roman"/>
          <w:lang w:bidi="en-US"/>
        </w:rPr>
        <w:t xml:space="preserve">But </w:t>
      </w:r>
      <w:r w:rsidR="004848B5" w:rsidRPr="00881D97">
        <w:rPr>
          <w:rFonts w:ascii="Times New Roman" w:hAnsi="Times New Roman" w:cs="Times New Roman"/>
          <w:lang w:bidi="en-US"/>
        </w:rPr>
        <w:t>tax shel</w:t>
      </w:r>
      <w:r w:rsidR="005D4045" w:rsidRPr="00881D97">
        <w:rPr>
          <w:rFonts w:ascii="Times New Roman" w:hAnsi="Times New Roman" w:cs="Times New Roman"/>
          <w:lang w:bidi="en-US"/>
        </w:rPr>
        <w:t>ters</w:t>
      </w:r>
      <w:r w:rsidR="008A5A2C" w:rsidRPr="00881D97">
        <w:rPr>
          <w:rFonts w:ascii="Times New Roman" w:hAnsi="Times New Roman" w:cs="Times New Roman"/>
          <w:lang w:bidi="en-US"/>
        </w:rPr>
        <w:t xml:space="preserve"> of any size</w:t>
      </w:r>
      <w:r w:rsidR="005D4045" w:rsidRPr="00881D97">
        <w:rPr>
          <w:rFonts w:ascii="Times New Roman" w:hAnsi="Times New Roman" w:cs="Times New Roman"/>
          <w:lang w:bidi="en-US"/>
        </w:rPr>
        <w:t xml:space="preserve"> are ineligible for the cash method. </w:t>
      </w:r>
    </w:p>
    <w:p w14:paraId="61CF9894" w14:textId="247DF72D" w:rsidR="00FF6619" w:rsidRPr="00881D97" w:rsidRDefault="000B5231" w:rsidP="00C82873">
      <w:pPr>
        <w:spacing w:after="200" w:line="240" w:lineRule="auto"/>
        <w:rPr>
          <w:rFonts w:ascii="Times New Roman" w:hAnsi="Times New Roman" w:cs="Times New Roman"/>
        </w:rPr>
      </w:pPr>
      <w:r w:rsidRPr="00881D97">
        <w:rPr>
          <w:rFonts w:ascii="Times New Roman" w:eastAsia="Times New Roman" w:hAnsi="Times New Roman" w:cs="Times New Roman"/>
          <w:b/>
          <w:bCs/>
        </w:rPr>
        <w:t xml:space="preserve">Why does </w:t>
      </w:r>
      <w:r w:rsidR="000F669B">
        <w:rPr>
          <w:rFonts w:ascii="Times New Roman" w:eastAsia="Times New Roman" w:hAnsi="Times New Roman" w:cs="Times New Roman"/>
          <w:b/>
          <w:bCs/>
        </w:rPr>
        <w:t>the</w:t>
      </w:r>
      <w:r w:rsidRPr="00881D97">
        <w:rPr>
          <w:rFonts w:ascii="Times New Roman" w:eastAsia="Times New Roman" w:hAnsi="Times New Roman" w:cs="Times New Roman"/>
          <w:b/>
          <w:bCs/>
        </w:rPr>
        <w:t xml:space="preserve"> method </w:t>
      </w:r>
      <w:r w:rsidR="000F669B">
        <w:rPr>
          <w:rFonts w:ascii="Times New Roman" w:eastAsia="Times New Roman" w:hAnsi="Times New Roman" w:cs="Times New Roman"/>
          <w:b/>
          <w:bCs/>
        </w:rPr>
        <w:t>matter</w:t>
      </w:r>
      <w:r w:rsidRPr="00881D97">
        <w:rPr>
          <w:rFonts w:ascii="Times New Roman" w:eastAsia="Times New Roman" w:hAnsi="Times New Roman" w:cs="Times New Roman"/>
          <w:b/>
          <w:bCs/>
        </w:rPr>
        <w:t>?</w:t>
      </w:r>
    </w:p>
    <w:p w14:paraId="705D4955" w14:textId="751CFCCA" w:rsidR="00FF6619" w:rsidRPr="00881D97" w:rsidRDefault="1AF62730" w:rsidP="00C82873">
      <w:pPr>
        <w:spacing w:after="200" w:line="240" w:lineRule="auto"/>
        <w:rPr>
          <w:rFonts w:ascii="Times New Roman" w:hAnsi="Times New Roman" w:cs="Times New Roman"/>
        </w:rPr>
      </w:pPr>
      <w:r w:rsidRPr="00881D97">
        <w:rPr>
          <w:rFonts w:ascii="Times New Roman" w:eastAsia="Times New Roman" w:hAnsi="Times New Roman" w:cs="Times New Roman"/>
        </w:rPr>
        <w:t xml:space="preserve">For most businesses, the cash method provides significant tax advantages. Because cash-basis businesses recognize income when received and deduct expenses when paid, they have greater control over the timing of income and deductions. For example, toward the end of the year, they can defer income by delaying invoices until the following tax year or shift deductions into the current year by accelerating </w:t>
      </w:r>
      <w:r w:rsidR="00B31AAC">
        <w:rPr>
          <w:rFonts w:ascii="Times New Roman" w:eastAsia="Times New Roman" w:hAnsi="Times New Roman" w:cs="Times New Roman"/>
        </w:rPr>
        <w:t xml:space="preserve">payment of </w:t>
      </w:r>
      <w:r w:rsidRPr="00881D97">
        <w:rPr>
          <w:rFonts w:ascii="Times New Roman" w:eastAsia="Times New Roman" w:hAnsi="Times New Roman" w:cs="Times New Roman"/>
        </w:rPr>
        <w:t xml:space="preserve">expenses. </w:t>
      </w:r>
    </w:p>
    <w:p w14:paraId="3785CA9B" w14:textId="10C14451" w:rsidR="00FF6619" w:rsidRPr="00881D97" w:rsidRDefault="1AF62730" w:rsidP="00C82873">
      <w:pPr>
        <w:spacing w:after="200" w:line="240" w:lineRule="auto"/>
        <w:rPr>
          <w:rFonts w:ascii="Times New Roman" w:hAnsi="Times New Roman" w:cs="Times New Roman"/>
        </w:rPr>
      </w:pPr>
      <w:r w:rsidRPr="00881D97">
        <w:rPr>
          <w:rFonts w:ascii="Times New Roman" w:eastAsia="Times New Roman" w:hAnsi="Times New Roman" w:cs="Times New Roman"/>
        </w:rPr>
        <w:t xml:space="preserve">In contrast, accrual-basis businesses recognize income when earned and deduct expenses when incurred, without regard to the timing of cash receipts or payments. Therefore, they have little flexibility </w:t>
      </w:r>
      <w:r w:rsidR="00765741">
        <w:rPr>
          <w:rFonts w:ascii="Times New Roman" w:eastAsia="Times New Roman" w:hAnsi="Times New Roman" w:cs="Times New Roman"/>
        </w:rPr>
        <w:t>in</w:t>
      </w:r>
      <w:r w:rsidRPr="00881D97">
        <w:rPr>
          <w:rFonts w:ascii="Times New Roman" w:eastAsia="Times New Roman" w:hAnsi="Times New Roman" w:cs="Times New Roman"/>
        </w:rPr>
        <w:t xml:space="preserve"> </w:t>
      </w:r>
      <w:r w:rsidR="00C91507">
        <w:rPr>
          <w:rFonts w:ascii="Times New Roman" w:eastAsia="Times New Roman" w:hAnsi="Times New Roman" w:cs="Times New Roman"/>
        </w:rPr>
        <w:t>recognizing</w:t>
      </w:r>
      <w:r w:rsidRPr="00881D97">
        <w:rPr>
          <w:rFonts w:ascii="Times New Roman" w:eastAsia="Times New Roman" w:hAnsi="Times New Roman" w:cs="Times New Roman"/>
        </w:rPr>
        <w:t xml:space="preserve"> income or expenses for tax purposes. </w:t>
      </w:r>
    </w:p>
    <w:p w14:paraId="2B809752" w14:textId="63F6BE62" w:rsidR="00FF6619" w:rsidRPr="00881D97" w:rsidRDefault="1AF62730" w:rsidP="00C82873">
      <w:pPr>
        <w:spacing w:after="200" w:line="240" w:lineRule="auto"/>
        <w:rPr>
          <w:rFonts w:ascii="Times New Roman" w:hAnsi="Times New Roman" w:cs="Times New Roman"/>
        </w:rPr>
      </w:pPr>
      <w:r w:rsidRPr="00881D97">
        <w:rPr>
          <w:rFonts w:ascii="Times New Roman" w:eastAsia="Times New Roman" w:hAnsi="Times New Roman" w:cs="Times New Roman"/>
        </w:rPr>
        <w:t>The cash method also provides cash flow benefits. Because income is taxed in the year received, it helps ensure that a business has the funds needed to pay its tax bill.</w:t>
      </w:r>
    </w:p>
    <w:p w14:paraId="3D98A330" w14:textId="3DC31279" w:rsidR="00FF6619" w:rsidRPr="00881D97" w:rsidRDefault="1AF62730" w:rsidP="00C82873">
      <w:pPr>
        <w:spacing w:after="200" w:line="240" w:lineRule="auto"/>
        <w:rPr>
          <w:rFonts w:ascii="Times New Roman" w:hAnsi="Times New Roman" w:cs="Times New Roman"/>
        </w:rPr>
      </w:pPr>
      <w:r w:rsidRPr="00881D97">
        <w:rPr>
          <w:rFonts w:ascii="Times New Roman" w:eastAsia="Times New Roman" w:hAnsi="Times New Roman" w:cs="Times New Roman"/>
        </w:rPr>
        <w:t xml:space="preserve">However, for some businesses, the accrual method may be preferable. For instance, if a company’s accrued income tends to be lower than its accrued expenses, the accrual method may </w:t>
      </w:r>
      <w:r w:rsidRPr="00881D97">
        <w:rPr>
          <w:rFonts w:ascii="Times New Roman" w:eastAsia="Times New Roman" w:hAnsi="Times New Roman" w:cs="Times New Roman"/>
        </w:rPr>
        <w:lastRenderedPageBreak/>
        <w:t>result in lower tax liability. Other potential advantages of the accrual method include the ability to deduct year-end bonuses paid within the first 2½ months of the following tax year and the option to defer taxes on certain advance payments.</w:t>
      </w:r>
    </w:p>
    <w:p w14:paraId="27E0CD36" w14:textId="52091CA4" w:rsidR="0067590C" w:rsidRPr="005737DD" w:rsidRDefault="00984A1B" w:rsidP="00C82873">
      <w:pPr>
        <w:spacing w:after="200" w:line="240" w:lineRule="auto"/>
        <w:rPr>
          <w:rFonts w:ascii="Times New Roman" w:eastAsia="Times New Roman" w:hAnsi="Times New Roman" w:cs="Times New Roman"/>
          <w:b/>
          <w:bCs/>
        </w:rPr>
      </w:pPr>
      <w:r w:rsidRPr="005737DD">
        <w:rPr>
          <w:rFonts w:ascii="Times New Roman" w:eastAsia="Times New Roman" w:hAnsi="Times New Roman" w:cs="Times New Roman"/>
          <w:b/>
          <w:bCs/>
        </w:rPr>
        <w:t xml:space="preserve">What </w:t>
      </w:r>
      <w:r w:rsidR="00CA5B23" w:rsidRPr="005737DD">
        <w:rPr>
          <w:rFonts w:ascii="Times New Roman" w:eastAsia="Times New Roman" w:hAnsi="Times New Roman" w:cs="Times New Roman"/>
          <w:b/>
          <w:bCs/>
        </w:rPr>
        <w:t xml:space="preserve">should </w:t>
      </w:r>
      <w:r w:rsidRPr="005737DD">
        <w:rPr>
          <w:rFonts w:ascii="Times New Roman" w:eastAsia="Times New Roman" w:hAnsi="Times New Roman" w:cs="Times New Roman"/>
          <w:b/>
          <w:bCs/>
        </w:rPr>
        <w:t>you do?</w:t>
      </w:r>
    </w:p>
    <w:p w14:paraId="3014F6C3" w14:textId="01D849F1" w:rsidR="0067590C" w:rsidRPr="00881D97" w:rsidRDefault="00363885" w:rsidP="00C82873">
      <w:pPr>
        <w:spacing w:after="200" w:line="240" w:lineRule="auto"/>
        <w:rPr>
          <w:rFonts w:ascii="Times New Roman" w:eastAsia="Aptos" w:hAnsi="Times New Roman" w:cs="Times New Roman"/>
        </w:rPr>
      </w:pPr>
      <w:r>
        <w:rPr>
          <w:rFonts w:ascii="Times New Roman" w:hAnsi="Times New Roman" w:cs="Times New Roman"/>
        </w:rPr>
        <w:t>E</w:t>
      </w:r>
      <w:r w:rsidR="00297610">
        <w:rPr>
          <w:rFonts w:ascii="Times New Roman" w:hAnsi="Times New Roman" w:cs="Times New Roman"/>
        </w:rPr>
        <w:t>valuating</w:t>
      </w:r>
      <w:r w:rsidR="00297610" w:rsidRPr="005737DD">
        <w:rPr>
          <w:rFonts w:ascii="Times New Roman" w:hAnsi="Times New Roman" w:cs="Times New Roman"/>
        </w:rPr>
        <w:t xml:space="preserve"> </w:t>
      </w:r>
      <w:r w:rsidR="00D86F64" w:rsidRPr="005737DD">
        <w:rPr>
          <w:rFonts w:ascii="Times New Roman" w:hAnsi="Times New Roman" w:cs="Times New Roman"/>
        </w:rPr>
        <w:t>accounting methods can be complex</w:t>
      </w:r>
      <w:r>
        <w:rPr>
          <w:rFonts w:ascii="Times New Roman" w:hAnsi="Times New Roman" w:cs="Times New Roman"/>
        </w:rPr>
        <w:t xml:space="preserve">. We can help you </w:t>
      </w:r>
      <w:r w:rsidR="00705C50" w:rsidRPr="005737DD">
        <w:rPr>
          <w:rFonts w:ascii="Times New Roman" w:hAnsi="Times New Roman" w:cs="Times New Roman"/>
        </w:rPr>
        <w:t>weigh all the relevant factors</w:t>
      </w:r>
      <w:r w:rsidR="00176158">
        <w:rPr>
          <w:rFonts w:ascii="Times New Roman" w:hAnsi="Times New Roman" w:cs="Times New Roman"/>
        </w:rPr>
        <w:t xml:space="preserve"> </w:t>
      </w:r>
      <w:r w:rsidR="00276E7C">
        <w:rPr>
          <w:rFonts w:ascii="Times New Roman" w:hAnsi="Times New Roman" w:cs="Times New Roman"/>
        </w:rPr>
        <w:t xml:space="preserve">and </w:t>
      </w:r>
      <w:r w:rsidR="00265CFC" w:rsidRPr="005737DD">
        <w:rPr>
          <w:rFonts w:ascii="Times New Roman" w:hAnsi="Times New Roman" w:cs="Times New Roman"/>
        </w:rPr>
        <w:t>choos</w:t>
      </w:r>
      <w:r w:rsidR="008E50E0">
        <w:rPr>
          <w:rFonts w:ascii="Times New Roman" w:hAnsi="Times New Roman" w:cs="Times New Roman"/>
        </w:rPr>
        <w:t>e</w:t>
      </w:r>
      <w:r w:rsidR="00265CFC" w:rsidRPr="005737DD">
        <w:rPr>
          <w:rFonts w:ascii="Times New Roman" w:hAnsi="Times New Roman" w:cs="Times New Roman"/>
        </w:rPr>
        <w:t xml:space="preserve"> the best accounting method for your company.</w:t>
      </w:r>
    </w:p>
    <w:p w14:paraId="01ED051D" w14:textId="2F4B5854" w:rsidR="00FF6619" w:rsidRPr="00881D97" w:rsidRDefault="00FF6619" w:rsidP="00C82873">
      <w:pPr>
        <w:spacing w:after="200" w:line="240" w:lineRule="auto"/>
        <w:rPr>
          <w:rFonts w:ascii="Times New Roman" w:hAnsi="Times New Roman" w:cs="Times New Roman"/>
        </w:rPr>
      </w:pPr>
    </w:p>
    <w:p w14:paraId="2C078E63" w14:textId="6C8882D4" w:rsidR="00FF6619" w:rsidRPr="00881D97" w:rsidRDefault="001C32E5" w:rsidP="00C82873">
      <w:pPr>
        <w:spacing w:after="200" w:line="240" w:lineRule="auto"/>
        <w:rPr>
          <w:rFonts w:ascii="Times New Roman" w:hAnsi="Times New Roman" w:cs="Times New Roman"/>
        </w:rPr>
      </w:pPr>
      <w:r w:rsidRPr="00881D97">
        <w:rPr>
          <w:rFonts w:ascii="Times New Roman" w:hAnsi="Times New Roman" w:cs="Times New Roman"/>
        </w:rPr>
        <w:t xml:space="preserve">Sidebar: </w:t>
      </w:r>
    </w:p>
    <w:p w14:paraId="1DDDE566" w14:textId="3F505200" w:rsidR="001F0C3B" w:rsidRPr="00881D97" w:rsidRDefault="00623209" w:rsidP="00C82873">
      <w:pPr>
        <w:spacing w:after="200" w:line="240" w:lineRule="auto"/>
        <w:rPr>
          <w:rFonts w:ascii="Times New Roman" w:hAnsi="Times New Roman" w:cs="Times New Roman"/>
        </w:rPr>
      </w:pPr>
      <w:r>
        <w:rPr>
          <w:rFonts w:ascii="Times New Roman" w:eastAsia="Times New Roman" w:hAnsi="Times New Roman" w:cs="Times New Roman"/>
          <w:b/>
          <w:bCs/>
        </w:rPr>
        <w:t>Determining whether a method change is</w:t>
      </w:r>
      <w:r w:rsidR="00B80F64" w:rsidRPr="00881D97">
        <w:rPr>
          <w:rFonts w:ascii="Times New Roman" w:eastAsia="Times New Roman" w:hAnsi="Times New Roman" w:cs="Times New Roman"/>
          <w:b/>
          <w:bCs/>
        </w:rPr>
        <w:t xml:space="preserve"> worthwhile</w:t>
      </w:r>
    </w:p>
    <w:p w14:paraId="65A3D39E" w14:textId="0F286243" w:rsidR="000E44BA" w:rsidRDefault="001F0C3B" w:rsidP="00C82873">
      <w:pPr>
        <w:spacing w:after="200" w:line="240" w:lineRule="auto"/>
        <w:rPr>
          <w:rFonts w:ascii="Times New Roman" w:eastAsia="Times New Roman" w:hAnsi="Times New Roman" w:cs="Times New Roman"/>
        </w:rPr>
      </w:pPr>
      <w:r w:rsidRPr="00881D97">
        <w:rPr>
          <w:rFonts w:ascii="Times New Roman" w:eastAsia="Times New Roman" w:hAnsi="Times New Roman" w:cs="Times New Roman"/>
        </w:rPr>
        <w:t xml:space="preserve">Even if your business would </w:t>
      </w:r>
      <w:r w:rsidR="0078612C">
        <w:rPr>
          <w:rFonts w:ascii="Times New Roman" w:eastAsia="Times New Roman" w:hAnsi="Times New Roman" w:cs="Times New Roman"/>
        </w:rPr>
        <w:t>save taxes</w:t>
      </w:r>
      <w:r w:rsidR="0078612C" w:rsidRPr="00881D97">
        <w:rPr>
          <w:rFonts w:ascii="Times New Roman" w:eastAsia="Times New Roman" w:hAnsi="Times New Roman" w:cs="Times New Roman"/>
        </w:rPr>
        <w:t xml:space="preserve"> </w:t>
      </w:r>
      <w:r w:rsidRPr="00881D97">
        <w:rPr>
          <w:rFonts w:ascii="Times New Roman" w:eastAsia="Times New Roman" w:hAnsi="Times New Roman" w:cs="Times New Roman"/>
        </w:rPr>
        <w:t xml:space="preserve">by </w:t>
      </w:r>
      <w:r w:rsidR="006B3951">
        <w:rPr>
          <w:rFonts w:ascii="Times New Roman" w:eastAsia="Times New Roman" w:hAnsi="Times New Roman" w:cs="Times New Roman"/>
        </w:rPr>
        <w:t xml:space="preserve">changing its accounting </w:t>
      </w:r>
      <w:r w:rsidRPr="00881D97">
        <w:rPr>
          <w:rFonts w:ascii="Times New Roman" w:eastAsia="Times New Roman" w:hAnsi="Times New Roman" w:cs="Times New Roman"/>
        </w:rPr>
        <w:t xml:space="preserve">method, </w:t>
      </w:r>
      <w:r w:rsidR="00B35F01" w:rsidRPr="00881D97">
        <w:rPr>
          <w:rFonts w:ascii="Times New Roman" w:eastAsia="Times New Roman" w:hAnsi="Times New Roman" w:cs="Times New Roman"/>
        </w:rPr>
        <w:t xml:space="preserve">be mindful of </w:t>
      </w:r>
      <w:r w:rsidR="00853710">
        <w:rPr>
          <w:rFonts w:ascii="Times New Roman" w:eastAsia="Times New Roman" w:hAnsi="Times New Roman" w:cs="Times New Roman"/>
        </w:rPr>
        <w:t>other possible</w:t>
      </w:r>
      <w:r w:rsidR="00CE4D69">
        <w:rPr>
          <w:rFonts w:ascii="Times New Roman" w:eastAsia="Times New Roman" w:hAnsi="Times New Roman" w:cs="Times New Roman"/>
        </w:rPr>
        <w:t xml:space="preserve"> consequences</w:t>
      </w:r>
      <w:r w:rsidRPr="00881D97">
        <w:rPr>
          <w:rFonts w:ascii="Times New Roman" w:eastAsia="Times New Roman" w:hAnsi="Times New Roman" w:cs="Times New Roman"/>
        </w:rPr>
        <w:t xml:space="preserve">. </w:t>
      </w:r>
      <w:r w:rsidR="000E44BA">
        <w:rPr>
          <w:rFonts w:ascii="Times New Roman" w:eastAsia="Times New Roman" w:hAnsi="Times New Roman" w:cs="Times New Roman"/>
        </w:rPr>
        <w:t>For example, i</w:t>
      </w:r>
      <w:r w:rsidRPr="00881D97">
        <w:rPr>
          <w:rFonts w:ascii="Times New Roman" w:eastAsia="Times New Roman" w:hAnsi="Times New Roman" w:cs="Times New Roman"/>
        </w:rPr>
        <w:t xml:space="preserve">f your business prepares its financial statements in accordance with U.S. Generally Accepted Accounting Principles, it’s required to use the accrual method for financial reporting purposes. </w:t>
      </w:r>
      <w:r w:rsidR="00F0376D" w:rsidRPr="00881D97">
        <w:rPr>
          <w:rFonts w:ascii="Times New Roman" w:eastAsia="Times New Roman" w:hAnsi="Times New Roman" w:cs="Times New Roman"/>
        </w:rPr>
        <w:t>So</w:t>
      </w:r>
      <w:r w:rsidR="00200ABF" w:rsidRPr="00881D97">
        <w:rPr>
          <w:rFonts w:ascii="Times New Roman" w:eastAsia="Times New Roman" w:hAnsi="Times New Roman" w:cs="Times New Roman"/>
        </w:rPr>
        <w:t>,</w:t>
      </w:r>
      <w:r w:rsidR="00F0376D" w:rsidRPr="00881D97">
        <w:rPr>
          <w:rFonts w:ascii="Times New Roman" w:eastAsia="Times New Roman" w:hAnsi="Times New Roman" w:cs="Times New Roman"/>
        </w:rPr>
        <w:t xml:space="preserve"> </w:t>
      </w:r>
      <w:r w:rsidR="002D4D14">
        <w:rPr>
          <w:rFonts w:ascii="Times New Roman" w:eastAsia="Times New Roman" w:hAnsi="Times New Roman" w:cs="Times New Roman"/>
        </w:rPr>
        <w:t>using</w:t>
      </w:r>
      <w:r w:rsidR="00F0376D" w:rsidRPr="00881D97">
        <w:rPr>
          <w:rFonts w:ascii="Times New Roman" w:eastAsia="Times New Roman" w:hAnsi="Times New Roman" w:cs="Times New Roman"/>
        </w:rPr>
        <w:t xml:space="preserve"> cash accounting </w:t>
      </w:r>
      <w:r w:rsidR="00FA4432">
        <w:rPr>
          <w:rFonts w:ascii="Times New Roman" w:eastAsia="Times New Roman" w:hAnsi="Times New Roman" w:cs="Times New Roman"/>
        </w:rPr>
        <w:t xml:space="preserve">for tax purposes </w:t>
      </w:r>
      <w:r w:rsidR="00F0376D" w:rsidRPr="00881D97">
        <w:rPr>
          <w:rFonts w:ascii="Times New Roman" w:eastAsia="Times New Roman" w:hAnsi="Times New Roman" w:cs="Times New Roman"/>
        </w:rPr>
        <w:t xml:space="preserve">would </w:t>
      </w:r>
      <w:r w:rsidR="005A1362" w:rsidRPr="00881D97">
        <w:rPr>
          <w:rFonts w:ascii="Times New Roman" w:eastAsia="Times New Roman" w:hAnsi="Times New Roman" w:cs="Times New Roman"/>
        </w:rPr>
        <w:t xml:space="preserve">mean </w:t>
      </w:r>
      <w:r w:rsidR="00E033F2">
        <w:rPr>
          <w:rFonts w:ascii="Times New Roman" w:eastAsia="Times New Roman" w:hAnsi="Times New Roman" w:cs="Times New Roman"/>
        </w:rPr>
        <w:t>keeping two sets of books</w:t>
      </w:r>
      <w:r w:rsidR="00F0376D" w:rsidRPr="00881D97">
        <w:rPr>
          <w:rFonts w:ascii="Times New Roman" w:eastAsia="Times New Roman" w:hAnsi="Times New Roman" w:cs="Times New Roman"/>
        </w:rPr>
        <w:t>, which can be burde</w:t>
      </w:r>
      <w:r w:rsidR="00097278" w:rsidRPr="00881D97">
        <w:rPr>
          <w:rFonts w:ascii="Times New Roman" w:eastAsia="Times New Roman" w:hAnsi="Times New Roman" w:cs="Times New Roman"/>
        </w:rPr>
        <w:t>n</w:t>
      </w:r>
      <w:r w:rsidR="00F0376D" w:rsidRPr="00881D97">
        <w:rPr>
          <w:rFonts w:ascii="Times New Roman" w:eastAsia="Times New Roman" w:hAnsi="Times New Roman" w:cs="Times New Roman"/>
        </w:rPr>
        <w:t xml:space="preserve">some. </w:t>
      </w:r>
    </w:p>
    <w:p w14:paraId="45B0774F" w14:textId="549C12C9" w:rsidR="001F0C3B" w:rsidRDefault="00E2011C" w:rsidP="00C82873">
      <w:pPr>
        <w:spacing w:after="200" w:line="240" w:lineRule="auto"/>
        <w:rPr>
          <w:rFonts w:ascii="Times New Roman" w:eastAsia="Times New Roman" w:hAnsi="Times New Roman" w:cs="Times New Roman"/>
        </w:rPr>
      </w:pPr>
      <w:r w:rsidRPr="00571B6C">
        <w:rPr>
          <w:rFonts w:ascii="Times New Roman" w:eastAsia="Times New Roman" w:hAnsi="Times New Roman" w:cs="Times New Roman"/>
        </w:rPr>
        <w:t>Also, you may need IRS consent before making a change.</w:t>
      </w:r>
      <w:r>
        <w:rPr>
          <w:rFonts w:ascii="Times New Roman" w:eastAsia="Times New Roman" w:hAnsi="Times New Roman" w:cs="Times New Roman"/>
        </w:rPr>
        <w:t xml:space="preserve"> </w:t>
      </w:r>
      <w:r w:rsidR="00963FB4">
        <w:rPr>
          <w:rFonts w:ascii="Times New Roman" w:eastAsia="Times New Roman" w:hAnsi="Times New Roman" w:cs="Times New Roman"/>
        </w:rPr>
        <w:t>Please contact us for assistance.</w:t>
      </w:r>
    </w:p>
    <w:p w14:paraId="3984A7CC" w14:textId="7C833DBE" w:rsidR="00E50256" w:rsidRDefault="00E2011C" w:rsidP="00C82873">
      <w:pPr>
        <w:spacing w:after="20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19A7EF51" w14:textId="77777777" w:rsidR="00E50256" w:rsidRDefault="00E50256" w:rsidP="00C82873">
      <w:pPr>
        <w:spacing w:after="200" w:line="240" w:lineRule="auto"/>
        <w:rPr>
          <w:rFonts w:ascii="Times New Roman" w:eastAsia="Times New Roman" w:hAnsi="Times New Roman" w:cs="Times New Roman"/>
        </w:rPr>
      </w:pPr>
    </w:p>
    <w:p w14:paraId="17A24DED" w14:textId="77777777" w:rsidR="00E50256" w:rsidRDefault="00E50256" w:rsidP="00C82873">
      <w:pPr>
        <w:spacing w:after="200" w:line="240" w:lineRule="auto"/>
        <w:rPr>
          <w:rFonts w:ascii="Times New Roman" w:eastAsia="Times New Roman" w:hAnsi="Times New Roman" w:cs="Times New Roman"/>
        </w:rPr>
      </w:pPr>
    </w:p>
    <w:p w14:paraId="7757B1BC" w14:textId="77777777" w:rsidR="00E50256" w:rsidRPr="00881D97" w:rsidRDefault="00E50256" w:rsidP="00C82873">
      <w:pPr>
        <w:spacing w:after="200" w:line="240" w:lineRule="auto"/>
        <w:rPr>
          <w:rFonts w:ascii="Times New Roman" w:hAnsi="Times New Roman" w:cs="Times New Roman"/>
        </w:rPr>
      </w:pPr>
    </w:p>
    <w:sectPr w:rsidR="00E50256" w:rsidRPr="00881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E9D2"/>
    <w:multiLevelType w:val="hybridMultilevel"/>
    <w:tmpl w:val="5942C2C0"/>
    <w:lvl w:ilvl="0" w:tplc="D75A11AA">
      <w:start w:val="1"/>
      <w:numFmt w:val="bullet"/>
      <w:lvlText w:val="·"/>
      <w:lvlJc w:val="left"/>
      <w:pPr>
        <w:ind w:left="720" w:hanging="360"/>
      </w:pPr>
      <w:rPr>
        <w:rFonts w:ascii="Symbol" w:hAnsi="Symbol" w:hint="default"/>
      </w:rPr>
    </w:lvl>
    <w:lvl w:ilvl="1" w:tplc="0FD823F8">
      <w:start w:val="1"/>
      <w:numFmt w:val="bullet"/>
      <w:lvlText w:val="o"/>
      <w:lvlJc w:val="left"/>
      <w:pPr>
        <w:ind w:left="1440" w:hanging="360"/>
      </w:pPr>
      <w:rPr>
        <w:rFonts w:ascii="Courier New" w:hAnsi="Courier New" w:hint="default"/>
      </w:rPr>
    </w:lvl>
    <w:lvl w:ilvl="2" w:tplc="476A1640">
      <w:start w:val="1"/>
      <w:numFmt w:val="bullet"/>
      <w:lvlText w:val=""/>
      <w:lvlJc w:val="left"/>
      <w:pPr>
        <w:ind w:left="2160" w:hanging="360"/>
      </w:pPr>
      <w:rPr>
        <w:rFonts w:ascii="Wingdings" w:hAnsi="Wingdings" w:hint="default"/>
      </w:rPr>
    </w:lvl>
    <w:lvl w:ilvl="3" w:tplc="0EE8157C">
      <w:start w:val="1"/>
      <w:numFmt w:val="bullet"/>
      <w:lvlText w:val=""/>
      <w:lvlJc w:val="left"/>
      <w:pPr>
        <w:ind w:left="2880" w:hanging="360"/>
      </w:pPr>
      <w:rPr>
        <w:rFonts w:ascii="Symbol" w:hAnsi="Symbol" w:hint="default"/>
      </w:rPr>
    </w:lvl>
    <w:lvl w:ilvl="4" w:tplc="AACA774E">
      <w:start w:val="1"/>
      <w:numFmt w:val="bullet"/>
      <w:lvlText w:val="o"/>
      <w:lvlJc w:val="left"/>
      <w:pPr>
        <w:ind w:left="3600" w:hanging="360"/>
      </w:pPr>
      <w:rPr>
        <w:rFonts w:ascii="Courier New" w:hAnsi="Courier New" w:hint="default"/>
      </w:rPr>
    </w:lvl>
    <w:lvl w:ilvl="5" w:tplc="7094697E">
      <w:start w:val="1"/>
      <w:numFmt w:val="bullet"/>
      <w:lvlText w:val=""/>
      <w:lvlJc w:val="left"/>
      <w:pPr>
        <w:ind w:left="4320" w:hanging="360"/>
      </w:pPr>
      <w:rPr>
        <w:rFonts w:ascii="Wingdings" w:hAnsi="Wingdings" w:hint="default"/>
      </w:rPr>
    </w:lvl>
    <w:lvl w:ilvl="6" w:tplc="7E646066">
      <w:start w:val="1"/>
      <w:numFmt w:val="bullet"/>
      <w:lvlText w:val=""/>
      <w:lvlJc w:val="left"/>
      <w:pPr>
        <w:ind w:left="5040" w:hanging="360"/>
      </w:pPr>
      <w:rPr>
        <w:rFonts w:ascii="Symbol" w:hAnsi="Symbol" w:hint="default"/>
      </w:rPr>
    </w:lvl>
    <w:lvl w:ilvl="7" w:tplc="C4F812EA">
      <w:start w:val="1"/>
      <w:numFmt w:val="bullet"/>
      <w:lvlText w:val="o"/>
      <w:lvlJc w:val="left"/>
      <w:pPr>
        <w:ind w:left="5760" w:hanging="360"/>
      </w:pPr>
      <w:rPr>
        <w:rFonts w:ascii="Courier New" w:hAnsi="Courier New" w:hint="default"/>
      </w:rPr>
    </w:lvl>
    <w:lvl w:ilvl="8" w:tplc="FE76A3AE">
      <w:start w:val="1"/>
      <w:numFmt w:val="bullet"/>
      <w:lvlText w:val=""/>
      <w:lvlJc w:val="left"/>
      <w:pPr>
        <w:ind w:left="6480" w:hanging="360"/>
      </w:pPr>
      <w:rPr>
        <w:rFonts w:ascii="Wingdings" w:hAnsi="Wingdings" w:hint="default"/>
      </w:rPr>
    </w:lvl>
  </w:abstractNum>
  <w:abstractNum w:abstractNumId="1" w15:restartNumberingAfterBreak="0">
    <w:nsid w:val="6F6814C0"/>
    <w:multiLevelType w:val="hybridMultilevel"/>
    <w:tmpl w:val="5A8042E0"/>
    <w:lvl w:ilvl="0" w:tplc="0DD634FA">
      <w:start w:val="1"/>
      <w:numFmt w:val="bullet"/>
      <w:lvlText w:val=""/>
      <w:lvlJc w:val="left"/>
      <w:pPr>
        <w:ind w:left="720" w:hanging="360"/>
      </w:pPr>
      <w:rPr>
        <w:rFonts w:ascii="Symbol" w:hAnsi="Symbol" w:hint="default"/>
      </w:rPr>
    </w:lvl>
    <w:lvl w:ilvl="1" w:tplc="EBF6F890">
      <w:start w:val="1"/>
      <w:numFmt w:val="bullet"/>
      <w:lvlText w:val="o"/>
      <w:lvlJc w:val="left"/>
      <w:pPr>
        <w:ind w:left="1440" w:hanging="360"/>
      </w:pPr>
      <w:rPr>
        <w:rFonts w:ascii="Courier New" w:hAnsi="Courier New" w:hint="default"/>
      </w:rPr>
    </w:lvl>
    <w:lvl w:ilvl="2" w:tplc="77D80A7E">
      <w:start w:val="1"/>
      <w:numFmt w:val="bullet"/>
      <w:lvlText w:val=""/>
      <w:lvlJc w:val="left"/>
      <w:pPr>
        <w:ind w:left="2160" w:hanging="360"/>
      </w:pPr>
      <w:rPr>
        <w:rFonts w:ascii="Wingdings" w:hAnsi="Wingdings" w:hint="default"/>
      </w:rPr>
    </w:lvl>
    <w:lvl w:ilvl="3" w:tplc="C750E604">
      <w:start w:val="1"/>
      <w:numFmt w:val="bullet"/>
      <w:lvlText w:val=""/>
      <w:lvlJc w:val="left"/>
      <w:pPr>
        <w:ind w:left="2880" w:hanging="360"/>
      </w:pPr>
      <w:rPr>
        <w:rFonts w:ascii="Symbol" w:hAnsi="Symbol" w:hint="default"/>
      </w:rPr>
    </w:lvl>
    <w:lvl w:ilvl="4" w:tplc="DF2C3426">
      <w:start w:val="1"/>
      <w:numFmt w:val="bullet"/>
      <w:lvlText w:val="o"/>
      <w:lvlJc w:val="left"/>
      <w:pPr>
        <w:ind w:left="3600" w:hanging="360"/>
      </w:pPr>
      <w:rPr>
        <w:rFonts w:ascii="Courier New" w:hAnsi="Courier New" w:hint="default"/>
      </w:rPr>
    </w:lvl>
    <w:lvl w:ilvl="5" w:tplc="E0B2B7BC">
      <w:start w:val="1"/>
      <w:numFmt w:val="bullet"/>
      <w:lvlText w:val=""/>
      <w:lvlJc w:val="left"/>
      <w:pPr>
        <w:ind w:left="4320" w:hanging="360"/>
      </w:pPr>
      <w:rPr>
        <w:rFonts w:ascii="Wingdings" w:hAnsi="Wingdings" w:hint="default"/>
      </w:rPr>
    </w:lvl>
    <w:lvl w:ilvl="6" w:tplc="58C25C50">
      <w:start w:val="1"/>
      <w:numFmt w:val="bullet"/>
      <w:lvlText w:val=""/>
      <w:lvlJc w:val="left"/>
      <w:pPr>
        <w:ind w:left="5040" w:hanging="360"/>
      </w:pPr>
      <w:rPr>
        <w:rFonts w:ascii="Symbol" w:hAnsi="Symbol" w:hint="default"/>
      </w:rPr>
    </w:lvl>
    <w:lvl w:ilvl="7" w:tplc="C7464F3E">
      <w:start w:val="1"/>
      <w:numFmt w:val="bullet"/>
      <w:lvlText w:val="o"/>
      <w:lvlJc w:val="left"/>
      <w:pPr>
        <w:ind w:left="5760" w:hanging="360"/>
      </w:pPr>
      <w:rPr>
        <w:rFonts w:ascii="Courier New" w:hAnsi="Courier New" w:hint="default"/>
      </w:rPr>
    </w:lvl>
    <w:lvl w:ilvl="8" w:tplc="965E3E02">
      <w:start w:val="1"/>
      <w:numFmt w:val="bullet"/>
      <w:lvlText w:val=""/>
      <w:lvlJc w:val="left"/>
      <w:pPr>
        <w:ind w:left="6480" w:hanging="360"/>
      </w:pPr>
      <w:rPr>
        <w:rFonts w:ascii="Wingdings" w:hAnsi="Wingdings" w:hint="default"/>
      </w:rPr>
    </w:lvl>
  </w:abstractNum>
  <w:num w:numId="1" w16cid:durableId="562718488">
    <w:abstractNumId w:val="0"/>
  </w:num>
  <w:num w:numId="2" w16cid:durableId="1164009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079EC3"/>
    <w:rsid w:val="000232CB"/>
    <w:rsid w:val="00070703"/>
    <w:rsid w:val="000731BC"/>
    <w:rsid w:val="00074AB9"/>
    <w:rsid w:val="0008256C"/>
    <w:rsid w:val="00093982"/>
    <w:rsid w:val="00097278"/>
    <w:rsid w:val="000B5231"/>
    <w:rsid w:val="000C510D"/>
    <w:rsid w:val="000D3137"/>
    <w:rsid w:val="000E44BA"/>
    <w:rsid w:val="000F4A84"/>
    <w:rsid w:val="000F669B"/>
    <w:rsid w:val="00107659"/>
    <w:rsid w:val="0011532F"/>
    <w:rsid w:val="001676F4"/>
    <w:rsid w:val="00174DEB"/>
    <w:rsid w:val="00176158"/>
    <w:rsid w:val="001816D7"/>
    <w:rsid w:val="00184552"/>
    <w:rsid w:val="00197F83"/>
    <w:rsid w:val="001A3E81"/>
    <w:rsid w:val="001B5FA9"/>
    <w:rsid w:val="001C32E5"/>
    <w:rsid w:val="001D6921"/>
    <w:rsid w:val="001E41D4"/>
    <w:rsid w:val="001F0C3B"/>
    <w:rsid w:val="001F384D"/>
    <w:rsid w:val="00200ABF"/>
    <w:rsid w:val="00215156"/>
    <w:rsid w:val="00220069"/>
    <w:rsid w:val="002315DB"/>
    <w:rsid w:val="00262A1E"/>
    <w:rsid w:val="00265CFC"/>
    <w:rsid w:val="00276E7C"/>
    <w:rsid w:val="00284F6B"/>
    <w:rsid w:val="00297610"/>
    <w:rsid w:val="002A19CB"/>
    <w:rsid w:val="002B1DB7"/>
    <w:rsid w:val="002C3D72"/>
    <w:rsid w:val="002D281E"/>
    <w:rsid w:val="002D4D14"/>
    <w:rsid w:val="002E15C6"/>
    <w:rsid w:val="00314323"/>
    <w:rsid w:val="00362D3C"/>
    <w:rsid w:val="00363885"/>
    <w:rsid w:val="003E3716"/>
    <w:rsid w:val="003E5AE1"/>
    <w:rsid w:val="00405C9E"/>
    <w:rsid w:val="004202D0"/>
    <w:rsid w:val="00476E35"/>
    <w:rsid w:val="004848B5"/>
    <w:rsid w:val="0049296C"/>
    <w:rsid w:val="004B23D2"/>
    <w:rsid w:val="004C24AA"/>
    <w:rsid w:val="004C3D9F"/>
    <w:rsid w:val="005138A7"/>
    <w:rsid w:val="0053775C"/>
    <w:rsid w:val="00541616"/>
    <w:rsid w:val="00571B6C"/>
    <w:rsid w:val="00571E18"/>
    <w:rsid w:val="005737DD"/>
    <w:rsid w:val="005875A0"/>
    <w:rsid w:val="005A1362"/>
    <w:rsid w:val="005B1E8D"/>
    <w:rsid w:val="005B7D85"/>
    <w:rsid w:val="005C166D"/>
    <w:rsid w:val="005C2335"/>
    <w:rsid w:val="005C4C35"/>
    <w:rsid w:val="005C7DD3"/>
    <w:rsid w:val="005D4045"/>
    <w:rsid w:val="005D656D"/>
    <w:rsid w:val="005F3C00"/>
    <w:rsid w:val="006168CA"/>
    <w:rsid w:val="00623209"/>
    <w:rsid w:val="0063361E"/>
    <w:rsid w:val="006363B1"/>
    <w:rsid w:val="006416C3"/>
    <w:rsid w:val="0067590C"/>
    <w:rsid w:val="00682A1D"/>
    <w:rsid w:val="006837CA"/>
    <w:rsid w:val="006A6AED"/>
    <w:rsid w:val="006B3951"/>
    <w:rsid w:val="006D0BF3"/>
    <w:rsid w:val="0070497C"/>
    <w:rsid w:val="00705C50"/>
    <w:rsid w:val="00714700"/>
    <w:rsid w:val="00716C2F"/>
    <w:rsid w:val="00723A2B"/>
    <w:rsid w:val="00735A26"/>
    <w:rsid w:val="00765741"/>
    <w:rsid w:val="0078612C"/>
    <w:rsid w:val="007A01BA"/>
    <w:rsid w:val="007D0697"/>
    <w:rsid w:val="00830387"/>
    <w:rsid w:val="00834D5A"/>
    <w:rsid w:val="00842DE0"/>
    <w:rsid w:val="00853710"/>
    <w:rsid w:val="00881D97"/>
    <w:rsid w:val="008A5A2C"/>
    <w:rsid w:val="008E0621"/>
    <w:rsid w:val="008E50E0"/>
    <w:rsid w:val="009126B9"/>
    <w:rsid w:val="0091672F"/>
    <w:rsid w:val="00927276"/>
    <w:rsid w:val="00937BEE"/>
    <w:rsid w:val="00945966"/>
    <w:rsid w:val="00963FB4"/>
    <w:rsid w:val="0096438B"/>
    <w:rsid w:val="00972004"/>
    <w:rsid w:val="009831C4"/>
    <w:rsid w:val="00984A1B"/>
    <w:rsid w:val="009F4D61"/>
    <w:rsid w:val="00A11433"/>
    <w:rsid w:val="00A16419"/>
    <w:rsid w:val="00A72487"/>
    <w:rsid w:val="00A77FBD"/>
    <w:rsid w:val="00AE4597"/>
    <w:rsid w:val="00AF7FDB"/>
    <w:rsid w:val="00B31AAC"/>
    <w:rsid w:val="00B334D0"/>
    <w:rsid w:val="00B35F01"/>
    <w:rsid w:val="00B37502"/>
    <w:rsid w:val="00B427A2"/>
    <w:rsid w:val="00B666B4"/>
    <w:rsid w:val="00B80F64"/>
    <w:rsid w:val="00B8248B"/>
    <w:rsid w:val="00B86C89"/>
    <w:rsid w:val="00B92832"/>
    <w:rsid w:val="00BA1636"/>
    <w:rsid w:val="00BA5094"/>
    <w:rsid w:val="00BB6064"/>
    <w:rsid w:val="00C00133"/>
    <w:rsid w:val="00C30DF6"/>
    <w:rsid w:val="00C475C2"/>
    <w:rsid w:val="00C64B33"/>
    <w:rsid w:val="00C773EF"/>
    <w:rsid w:val="00C82873"/>
    <w:rsid w:val="00C845F5"/>
    <w:rsid w:val="00C856B6"/>
    <w:rsid w:val="00C91507"/>
    <w:rsid w:val="00CA5B23"/>
    <w:rsid w:val="00CE4D69"/>
    <w:rsid w:val="00D00473"/>
    <w:rsid w:val="00D07EF7"/>
    <w:rsid w:val="00D14ECE"/>
    <w:rsid w:val="00D30B7F"/>
    <w:rsid w:val="00D36053"/>
    <w:rsid w:val="00D42F43"/>
    <w:rsid w:val="00D86F64"/>
    <w:rsid w:val="00DA5CAF"/>
    <w:rsid w:val="00DC56D3"/>
    <w:rsid w:val="00DE3CF8"/>
    <w:rsid w:val="00E00E70"/>
    <w:rsid w:val="00E033F2"/>
    <w:rsid w:val="00E16E1F"/>
    <w:rsid w:val="00E1721F"/>
    <w:rsid w:val="00E2011C"/>
    <w:rsid w:val="00E214A0"/>
    <w:rsid w:val="00E50256"/>
    <w:rsid w:val="00E7022B"/>
    <w:rsid w:val="00E93DA7"/>
    <w:rsid w:val="00EA111E"/>
    <w:rsid w:val="00EA2F6A"/>
    <w:rsid w:val="00EB0979"/>
    <w:rsid w:val="00EC38E0"/>
    <w:rsid w:val="00EC69BF"/>
    <w:rsid w:val="00EE1FE2"/>
    <w:rsid w:val="00EE279C"/>
    <w:rsid w:val="00F0376D"/>
    <w:rsid w:val="00F44A3F"/>
    <w:rsid w:val="00F50966"/>
    <w:rsid w:val="00F709A9"/>
    <w:rsid w:val="00F85EC3"/>
    <w:rsid w:val="00F963E2"/>
    <w:rsid w:val="00FA3BEC"/>
    <w:rsid w:val="00FA4432"/>
    <w:rsid w:val="00FB028C"/>
    <w:rsid w:val="00FC17DE"/>
    <w:rsid w:val="00FF6619"/>
    <w:rsid w:val="1699D20A"/>
    <w:rsid w:val="1AF62730"/>
    <w:rsid w:val="26079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79EC3"/>
  <w15:chartTrackingRefBased/>
  <w15:docId w15:val="{AEBB8E6F-FA4E-4D2F-A085-E0E8B30F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699D20A"/>
    <w:pPr>
      <w:ind w:left="720"/>
      <w:contextualSpacing/>
    </w:pPr>
  </w:style>
  <w:style w:type="paragraph" w:styleId="Revision">
    <w:name w:val="Revision"/>
    <w:hidden/>
    <w:uiPriority w:val="99"/>
    <w:semiHidden/>
    <w:rsid w:val="00C82873"/>
    <w:pPr>
      <w:spacing w:after="0" w:line="240" w:lineRule="auto"/>
    </w:pPr>
  </w:style>
  <w:style w:type="character" w:styleId="CommentReference">
    <w:name w:val="annotation reference"/>
    <w:basedOn w:val="DefaultParagraphFont"/>
    <w:uiPriority w:val="99"/>
    <w:semiHidden/>
    <w:unhideWhenUsed/>
    <w:rsid w:val="005138A7"/>
    <w:rPr>
      <w:sz w:val="16"/>
      <w:szCs w:val="16"/>
    </w:rPr>
  </w:style>
  <w:style w:type="paragraph" w:styleId="CommentText">
    <w:name w:val="annotation text"/>
    <w:basedOn w:val="Normal"/>
    <w:link w:val="CommentTextChar"/>
    <w:uiPriority w:val="99"/>
    <w:unhideWhenUsed/>
    <w:rsid w:val="005138A7"/>
    <w:pPr>
      <w:spacing w:line="240" w:lineRule="auto"/>
    </w:pPr>
    <w:rPr>
      <w:sz w:val="20"/>
      <w:szCs w:val="20"/>
    </w:rPr>
  </w:style>
  <w:style w:type="character" w:customStyle="1" w:styleId="CommentTextChar">
    <w:name w:val="Comment Text Char"/>
    <w:basedOn w:val="DefaultParagraphFont"/>
    <w:link w:val="CommentText"/>
    <w:uiPriority w:val="99"/>
    <w:rsid w:val="005138A7"/>
    <w:rPr>
      <w:sz w:val="20"/>
      <w:szCs w:val="20"/>
    </w:rPr>
  </w:style>
  <w:style w:type="paragraph" w:styleId="CommentSubject">
    <w:name w:val="annotation subject"/>
    <w:basedOn w:val="CommentText"/>
    <w:next w:val="CommentText"/>
    <w:link w:val="CommentSubjectChar"/>
    <w:uiPriority w:val="99"/>
    <w:semiHidden/>
    <w:unhideWhenUsed/>
    <w:rsid w:val="005138A7"/>
    <w:rPr>
      <w:b/>
      <w:bCs/>
    </w:rPr>
  </w:style>
  <w:style w:type="character" w:customStyle="1" w:styleId="CommentSubjectChar">
    <w:name w:val="Comment Subject Char"/>
    <w:basedOn w:val="CommentTextChar"/>
    <w:link w:val="CommentSubject"/>
    <w:uiPriority w:val="99"/>
    <w:semiHidden/>
    <w:rsid w:val="005138A7"/>
    <w:rPr>
      <w:b/>
      <w:bCs/>
      <w:sz w:val="20"/>
      <w:szCs w:val="20"/>
    </w:rPr>
  </w:style>
  <w:style w:type="character" w:styleId="Hyperlink">
    <w:name w:val="Hyperlink"/>
    <w:basedOn w:val="DefaultParagraphFont"/>
    <w:uiPriority w:val="99"/>
    <w:unhideWhenUsed/>
    <w:rsid w:val="005C166D"/>
    <w:rPr>
      <w:color w:val="467886" w:themeColor="hyperlink"/>
      <w:u w:val="single"/>
    </w:rPr>
  </w:style>
  <w:style w:type="character" w:styleId="UnresolvedMention">
    <w:name w:val="Unresolved Mention"/>
    <w:basedOn w:val="DefaultParagraphFont"/>
    <w:uiPriority w:val="99"/>
    <w:semiHidden/>
    <w:unhideWhenUsed/>
    <w:rsid w:val="005C1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C5C152744A1F4A88D8EEA7FC47D8FC" ma:contentTypeVersion="16" ma:contentTypeDescription="Create a new document." ma:contentTypeScope="" ma:versionID="3513f82b114e1b9fb76110119e7744e6">
  <xsd:schema xmlns:xsd="http://www.w3.org/2001/XMLSchema" xmlns:xs="http://www.w3.org/2001/XMLSchema" xmlns:p="http://schemas.microsoft.com/office/2006/metadata/properties" xmlns:ns2="bfcb7a82-764f-4ec6-a61f-4122cf2412d2" xmlns:ns3="d42b41b2-081e-43e3-9bc5-78d8f04b87bf" targetNamespace="http://schemas.microsoft.com/office/2006/metadata/properties" ma:root="true" ma:fieldsID="3596eefccfc0fd90e1be5382eddbdc5c" ns2:_="" ns3:_="">
    <xsd:import namespace="bfcb7a82-764f-4ec6-a61f-4122cf2412d2"/>
    <xsd:import namespace="d42b41b2-081e-43e3-9bc5-78d8f04b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b7a82-764f-4ec6-a61f-4122cf24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1e41fc-fdfe-41db-afd2-6d041df150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b41b2-081e-43e3-9bc5-78d8f04b87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6dacbc-2031-4354-8415-32c1a5072161}" ma:internalName="TaxCatchAll" ma:showField="CatchAllData" ma:web="d42b41b2-081e-43e3-9bc5-78d8f04b87b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cb7a82-764f-4ec6-a61f-4122cf2412d2">
      <Terms xmlns="http://schemas.microsoft.com/office/infopath/2007/PartnerControls"/>
    </lcf76f155ced4ddcb4097134ff3c332f>
    <TaxCatchAll xmlns="d42b41b2-081e-43e3-9bc5-78d8f04b87bf" xsi:nil="true"/>
  </documentManagement>
</p:properties>
</file>

<file path=customXml/itemProps1.xml><?xml version="1.0" encoding="utf-8"?>
<ds:datastoreItem xmlns:ds="http://schemas.openxmlformats.org/officeDocument/2006/customXml" ds:itemID="{9E75B065-1E72-4A40-9DB0-0579F5E7D011}">
  <ds:schemaRefs>
    <ds:schemaRef ds:uri="http://schemas.microsoft.com/sharepoint/v3/contenttype/forms"/>
  </ds:schemaRefs>
</ds:datastoreItem>
</file>

<file path=customXml/itemProps2.xml><?xml version="1.0" encoding="utf-8"?>
<ds:datastoreItem xmlns:ds="http://schemas.openxmlformats.org/officeDocument/2006/customXml" ds:itemID="{A07D8877-0FAD-4E29-BC1D-D8E120CFB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b7a82-764f-4ec6-a61f-4122cf2412d2"/>
    <ds:schemaRef ds:uri="d42b41b2-081e-43e3-9bc5-78d8f04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D03AC-A4DE-4FDE-BB31-EC4AEBB89696}">
  <ds:schemaRefs>
    <ds:schemaRef ds:uri="http://schemas.microsoft.com/office/2006/metadata/properties"/>
    <ds:schemaRef ds:uri="http://schemas.microsoft.com/office/infopath/2007/PartnerControls"/>
    <ds:schemaRef ds:uri="bfcb7a82-764f-4ec6-a61f-4122cf2412d2"/>
    <ds:schemaRef ds:uri="d42b41b2-081e-43e3-9bc5-78d8f04b87b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Ambord</dc:creator>
  <cp:keywords/>
  <dc:description/>
  <cp:lastModifiedBy>Antonio Marquez</cp:lastModifiedBy>
  <cp:revision>3</cp:revision>
  <cp:lastPrinted>2025-05-02T21:38:00Z</cp:lastPrinted>
  <dcterms:created xsi:type="dcterms:W3CDTF">2025-05-02T21:38:00Z</dcterms:created>
  <dcterms:modified xsi:type="dcterms:W3CDTF">2025-05-02T21:39:00Z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0x01010007C5C152744A1F4A88D8EEA7FC47D8FC</vt:lpwstr>
  </property>
  <property fmtid="{D5CDD505-2E9C-101B-9397-08002B2CF9AE}" pid="3" name="MediaServiceImageTags">
    <vt:lpwstr/>
  </property>
</Properties>
</file>